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0" w:line="240" w:lineRule="auto"/>
        <w:ind w:left="460" w:right="0" w:firstLine="0"/>
        <w:jc w:val="center"/>
        <w:rPr>
          <w:rFonts w:ascii="Helvetica Neue" w:cs="Helvetica Neue" w:eastAsia="Helvetica Neue" w:hAnsi="Helvetica Neue"/>
          <w:b w:val="1"/>
          <w:i w:val="0"/>
          <w:smallCaps w:val="0"/>
          <w:strike w:val="0"/>
          <w:color w:val="0b0706"/>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b0706"/>
          <w:sz w:val="24"/>
          <w:szCs w:val="24"/>
          <w:u w:val="none"/>
          <w:shd w:fill="auto" w:val="clear"/>
          <w:vertAlign w:val="baseline"/>
          <w:rtl w:val="0"/>
        </w:rPr>
        <w:t xml:space="preserve">ПОРЯДОК ПОДАННЯ ТА РОЗГЛЯДУ ЗАЯВ ПРО ВИПАДКИ</w:t>
      </w:r>
    </w:p>
    <w:p w:rsidR="00000000" w:rsidDel="00000000" w:rsidP="00000000" w:rsidRDefault="00000000" w:rsidRPr="00000000" w14:paraId="0000000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0" w:line="240" w:lineRule="auto"/>
        <w:ind w:left="460" w:right="0" w:firstLine="0"/>
        <w:jc w:val="center"/>
        <w:rPr>
          <w:rFonts w:ascii="Helvetica Neue" w:cs="Helvetica Neue" w:eastAsia="Helvetica Neue" w:hAnsi="Helvetica Neue"/>
          <w:b w:val="1"/>
          <w:i w:val="0"/>
          <w:smallCaps w:val="0"/>
          <w:strike w:val="0"/>
          <w:color w:val="0b0706"/>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b0706"/>
          <w:sz w:val="24"/>
          <w:szCs w:val="24"/>
          <w:u w:val="none"/>
          <w:shd w:fill="auto" w:val="clear"/>
          <w:vertAlign w:val="baseline"/>
          <w:rtl w:val="0"/>
        </w:rPr>
        <w:t xml:space="preserve">БУЛІНГУ В </w:t>
      </w:r>
      <w:r w:rsidDel="00000000" w:rsidR="00000000" w:rsidRPr="00000000">
        <w:rPr>
          <w:rFonts w:ascii="Helvetica Neue" w:cs="Helvetica Neue" w:eastAsia="Helvetica Neue" w:hAnsi="Helvetica Neue"/>
          <w:b w:val="1"/>
          <w:color w:val="0b0706"/>
          <w:sz w:val="24"/>
          <w:szCs w:val="24"/>
          <w:rtl w:val="0"/>
        </w:rPr>
        <w:t xml:space="preserve">ОЗО “Гребінківський ліцей”</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0" w:line="240" w:lineRule="auto"/>
        <w:ind w:left="460" w:right="0" w:firstLine="0"/>
        <w:jc w:val="center"/>
        <w:rPr>
          <w:rFonts w:ascii="Helvetica Neue" w:cs="Helvetica Neue" w:eastAsia="Helvetica Neue" w:hAnsi="Helvetica Neue"/>
          <w:b w:val="1"/>
          <w:color w:val="0b0706"/>
          <w:sz w:val="24"/>
          <w:szCs w:val="24"/>
        </w:rPr>
      </w:pPr>
      <w:r w:rsidDel="00000000" w:rsidR="00000000" w:rsidRPr="00000000">
        <w:rPr>
          <w:rFonts w:ascii="Helvetica Neue" w:cs="Helvetica Neue" w:eastAsia="Helvetica Neue" w:hAnsi="Helvetica Neue"/>
          <w:b w:val="1"/>
          <w:i w:val="0"/>
          <w:smallCaps w:val="0"/>
          <w:strike w:val="0"/>
          <w:color w:val="0b0706"/>
          <w:sz w:val="24"/>
          <w:szCs w:val="24"/>
          <w:u w:val="none"/>
          <w:shd w:fill="auto" w:val="clear"/>
          <w:vertAlign w:val="baseline"/>
          <w:rtl w:val="0"/>
        </w:rPr>
        <w:t xml:space="preserve">Закон України "</w:t>
      </w:r>
      <w:r w:rsidDel="00000000" w:rsidR="00000000" w:rsidRPr="00000000">
        <w:rPr>
          <w:rFonts w:ascii="Helvetica Neue" w:cs="Helvetica Neue" w:eastAsia="Helvetica Neue" w:hAnsi="Helvetica Neue"/>
          <w:b w:val="1"/>
          <w:color w:val="0b0706"/>
          <w:sz w:val="24"/>
          <w:szCs w:val="24"/>
          <w:rtl w:val="0"/>
        </w:rPr>
        <w:t xml:space="preserve">Деякі питання реагування на випадки булінгу (цькування) та застосування заходів виховного впливу в закладах освіти</w:t>
      </w:r>
      <w:r w:rsidDel="00000000" w:rsidR="00000000" w:rsidRPr="00000000">
        <w:rPr>
          <w:rFonts w:ascii="Helvetica Neue" w:cs="Helvetica Neue" w:eastAsia="Helvetica Neue" w:hAnsi="Helvetica Neue"/>
          <w:b w:val="1"/>
          <w:i w:val="0"/>
          <w:smallCaps w:val="0"/>
          <w:strike w:val="0"/>
          <w:color w:val="0b0706"/>
          <w:sz w:val="24"/>
          <w:szCs w:val="24"/>
          <w:u w:val="none"/>
          <w:shd w:fill="auto" w:val="clear"/>
          <w:vertAlign w:val="baseline"/>
          <w:rtl w:val="0"/>
        </w:rPr>
        <w:t xml:space="preserve">"</w:t>
        <w:br w:type="textWrapping"/>
      </w:r>
      <w:hyperlink r:id="rId7">
        <w:r w:rsidDel="00000000" w:rsidR="00000000" w:rsidRPr="00000000">
          <w:rPr>
            <w:rFonts w:ascii="Helvetica Neue" w:cs="Helvetica Neue" w:eastAsia="Helvetica Neue" w:hAnsi="Helvetica Neue"/>
            <w:b w:val="1"/>
            <w:i w:val="0"/>
            <w:smallCaps w:val="0"/>
            <w:strike w:val="0"/>
            <w:color w:val="1155cc"/>
            <w:sz w:val="24"/>
            <w:szCs w:val="24"/>
            <w:u w:val="single"/>
            <w:shd w:fill="auto" w:val="clear"/>
            <w:vertAlign w:val="baseline"/>
            <w:rtl w:val="0"/>
          </w:rPr>
          <w:t xml:space="preserve">https://zakon.rada.gov.ua/laws/show/z0111-20#n16</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00" w:line="240" w:lineRule="auto"/>
        <w:ind w:left="4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b0706"/>
          <w:sz w:val="24"/>
          <w:szCs w:val="24"/>
          <w:u w:val="none"/>
          <w:shd w:fill="auto" w:val="clear"/>
          <w:vertAlign w:val="baseline"/>
          <w:rtl w:val="0"/>
        </w:rPr>
        <w:t xml:space="preserve">Процедура подання  (з дотриманням конфіденційності) заяви про випадки булінгу (цькування)</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00" w:line="240" w:lineRule="auto"/>
        <w:ind w:left="0" w:right="0" w:firstLine="69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b0706"/>
          <w:sz w:val="24"/>
          <w:szCs w:val="24"/>
          <w:u w:val="none"/>
          <w:shd w:fill="auto" w:val="clear"/>
          <w:vertAlign w:val="baseline"/>
          <w:rtl w:val="0"/>
        </w:rPr>
        <w:t xml:space="preserve">1.     Усі здобувачі освіти, педагогічні працівники закладу, батьки та інші учасники освітнього процесу повинні обов’язково повідомити директора навчального закладу про випадки булінгу (цькування), учасниками або свідками якого вони стали, або підозрюють про його вчинення по відношенню до інших осіб за зовнішніми ознаками, або про які отримали достовірну інформацію від інших осіб.</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00" w:line="240" w:lineRule="auto"/>
        <w:ind w:left="0" w:right="0" w:firstLine="69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b0706"/>
          <w:sz w:val="24"/>
          <w:szCs w:val="24"/>
          <w:u w:val="none"/>
          <w:shd w:fill="auto" w:val="clear"/>
          <w:vertAlign w:val="baseline"/>
          <w:rtl w:val="0"/>
        </w:rPr>
        <w:t xml:space="preserve">2.     На ім’я директора закладу пишеться заява (конфіденційність гарантується) про випадок боулінгу (цькування).</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b0706"/>
          <w:sz w:val="24"/>
          <w:szCs w:val="24"/>
          <w:u w:val="none"/>
          <w:shd w:fill="auto" w:val="clear"/>
          <w:vertAlign w:val="baseline"/>
          <w:rtl w:val="0"/>
        </w:rPr>
        <w:t xml:space="preserve">        3.    Директор закладу видає наказ про проведення розслідування та створення комісії з розгляду випадку булінгу (цькування), скликає її засідання.</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b0706"/>
          <w:sz w:val="24"/>
          <w:szCs w:val="24"/>
          <w:u w:val="none"/>
          <w:shd w:fill="auto" w:val="clear"/>
          <w:vertAlign w:val="baseline"/>
          <w:rtl w:val="0"/>
        </w:rPr>
        <w:t xml:space="preserve">        4.  До складу такої комісії входять педагогічні працівники (у тому числі психолог, соціальний педагог), батьки постраждалого та булерів, керівник навчального закладу та інші зацікавлені особи.</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00" w:line="240" w:lineRule="auto"/>
        <w:ind w:left="0" w:right="0" w:firstLine="0"/>
        <w:jc w:val="left"/>
        <w:rPr>
          <w:rFonts w:ascii="Helvetica Neue" w:cs="Helvetica Neue" w:eastAsia="Helvetica Neue" w:hAnsi="Helvetica Neue"/>
          <w:b w:val="0"/>
          <w:i w:val="0"/>
          <w:smallCaps w:val="0"/>
          <w:strike w:val="0"/>
          <w:color w:val="0b0706"/>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b0706"/>
          <w:sz w:val="24"/>
          <w:szCs w:val="24"/>
          <w:u w:val="none"/>
          <w:shd w:fill="auto" w:val="clear"/>
          <w:vertAlign w:val="baseline"/>
          <w:rtl w:val="0"/>
        </w:rPr>
        <w:t xml:space="preserve">          5.     Рішення комісії реєструються в окремому журналі, зберігаються в паперовому вигляді з оригіналами підписів усіх членів комісії.</w:t>
      </w:r>
    </w:p>
    <w:p w:rsidR="00000000" w:rsidDel="00000000" w:rsidP="00000000" w:rsidRDefault="00000000" w:rsidRPr="00000000" w14:paraId="0000000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00" w:line="240" w:lineRule="auto"/>
        <w:ind w:left="0" w:right="0" w:firstLine="0"/>
        <w:jc w:val="left"/>
        <w:rPr>
          <w:rFonts w:ascii="Helvetica Neue" w:cs="Helvetica Neue" w:eastAsia="Helvetica Neue" w:hAnsi="Helvetica Neue"/>
          <w:b w:val="0"/>
          <w:i w:val="0"/>
          <w:smallCaps w:val="0"/>
          <w:strike w:val="0"/>
          <w:color w:val="0b070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00" w:line="240" w:lineRule="auto"/>
        <w:ind w:left="0" w:right="0" w:firstLine="0"/>
        <w:jc w:val="left"/>
        <w:rPr>
          <w:rFonts w:ascii="Helvetica Neue" w:cs="Helvetica Neue" w:eastAsia="Helvetica Neue" w:hAnsi="Helvetica Neue"/>
          <w:b w:val="0"/>
          <w:i w:val="0"/>
          <w:smallCaps w:val="0"/>
          <w:strike w:val="0"/>
          <w:color w:val="0b070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10" w:line="240" w:lineRule="auto"/>
        <w:ind w:left="0" w:right="0" w:firstLine="0"/>
        <w:jc w:val="center"/>
        <w:rPr>
          <w:rFonts w:ascii="Helvetica Neue" w:cs="Helvetica Neue" w:eastAsia="Helvetica Neue" w:hAnsi="Helvetica Neue"/>
          <w:b w:val="1"/>
          <w:i w:val="0"/>
          <w:smallCaps w:val="0"/>
          <w:strike w:val="0"/>
          <w:color w:val="0b0706"/>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b0706"/>
          <w:sz w:val="24"/>
          <w:szCs w:val="24"/>
          <w:u w:val="none"/>
          <w:shd w:fill="auto" w:val="clear"/>
          <w:vertAlign w:val="baseline"/>
          <w:rtl w:val="0"/>
        </w:rPr>
        <w:t xml:space="preserve">ПОРЯДОК РЕАГУВАННЯ НА ДОВЕДЕНІ ВИПАДКИ БУЛІНГУ</w:t>
      </w:r>
    </w:p>
    <w:p w:rsidR="00000000" w:rsidDel="00000000" w:rsidP="00000000" w:rsidRDefault="00000000" w:rsidRPr="00000000" w14:paraId="0000000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10" w:line="240" w:lineRule="auto"/>
        <w:ind w:left="0" w:right="0" w:firstLine="0"/>
        <w:jc w:val="center"/>
        <w:rPr>
          <w:rFonts w:ascii="Helvetica Neue" w:cs="Helvetica Neue" w:eastAsia="Helvetica Neue" w:hAnsi="Helvetica Neue"/>
          <w:b w:val="1"/>
          <w:i w:val="0"/>
          <w:smallCaps w:val="0"/>
          <w:strike w:val="0"/>
          <w:color w:val="0b0706"/>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b0706"/>
          <w:sz w:val="24"/>
          <w:szCs w:val="24"/>
          <w:u w:val="none"/>
          <w:shd w:fill="auto" w:val="clear"/>
          <w:vertAlign w:val="baseline"/>
          <w:rtl w:val="0"/>
        </w:rPr>
        <w:t xml:space="preserve">(ЦЬКУВАННЯ) ТА ВІДПОВІДАЛЬНІСТЬ ОСІБ, ПРИЧЕТНИХ ДО БУЛІНГУ</w:t>
      </w:r>
    </w:p>
    <w:p w:rsidR="00000000" w:rsidDel="00000000" w:rsidP="00000000" w:rsidRDefault="00000000" w:rsidRPr="00000000" w14:paraId="0000000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10" w:before="210" w:line="240" w:lineRule="auto"/>
        <w:ind w:left="0" w:right="0" w:firstLine="0"/>
        <w:jc w:val="center"/>
        <w:rPr>
          <w:rFonts w:ascii="Helvetica Neue" w:cs="Helvetica Neue" w:eastAsia="Helvetica Neue" w:hAnsi="Helvetica Neue"/>
          <w:b w:val="1"/>
          <w:i w:val="0"/>
          <w:smallCaps w:val="0"/>
          <w:strike w:val="0"/>
          <w:color w:val="0b0706"/>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spacing w:after="0" w:before="0" w:line="240" w:lineRule="auto"/>
        <w:ind w:left="0" w:firstLine="794"/>
        <w:rPr/>
      </w:pPr>
      <w:r w:rsidDel="00000000" w:rsidR="00000000" w:rsidRPr="00000000">
        <w:rPr>
          <w:rFonts w:ascii="Helvetica Neue" w:cs="Helvetica Neue" w:eastAsia="Helvetica Neue" w:hAnsi="Helvetica Neue"/>
          <w:i w:val="0"/>
          <w:smallCaps w:val="0"/>
          <w:color w:val="0b0706"/>
          <w:sz w:val="24"/>
          <w:szCs w:val="24"/>
          <w:rtl w:val="0"/>
        </w:rPr>
        <w:t xml:space="preserve">Директор закладу має розглянути звернення у встановленому порядку.</w:t>
      </w:r>
      <w:r w:rsidDel="00000000" w:rsidR="00000000" w:rsidRPr="00000000">
        <w:rPr>
          <w:rtl w:val="0"/>
        </w:rPr>
      </w:r>
    </w:p>
    <w:p w:rsidR="00000000" w:rsidDel="00000000" w:rsidP="00000000" w:rsidRDefault="00000000" w:rsidRPr="00000000" w14:paraId="00000010">
      <w:pPr>
        <w:keepNext w:val="0"/>
        <w:keepLines w:val="0"/>
        <w:pageBreakBefore w:val="0"/>
        <w:widowControl w:val="1"/>
        <w:spacing w:after="0" w:before="0" w:line="240" w:lineRule="auto"/>
        <w:ind w:left="0" w:firstLine="662"/>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spacing w:after="0" w:before="0" w:line="240" w:lineRule="auto"/>
        <w:ind w:left="0" w:firstLine="794"/>
        <w:rPr/>
      </w:pPr>
      <w:r w:rsidDel="00000000" w:rsidR="00000000" w:rsidRPr="00000000">
        <w:rPr>
          <w:rFonts w:ascii="Helvetica Neue" w:cs="Helvetica Neue" w:eastAsia="Helvetica Neue" w:hAnsi="Helvetica Neue"/>
          <w:i w:val="0"/>
          <w:smallCaps w:val="0"/>
          <w:color w:val="0b0706"/>
          <w:sz w:val="24"/>
          <w:szCs w:val="24"/>
          <w:rtl w:val="0"/>
        </w:rPr>
        <w:t xml:space="preserve">Директор закладу створює комісію з розгляду випадків булінгу, яка з’ясовує    обставини булінгу.</w:t>
      </w:r>
      <w:r w:rsidDel="00000000" w:rsidR="00000000" w:rsidRPr="00000000">
        <w:rPr>
          <w:rtl w:val="0"/>
        </w:rPr>
      </w:r>
    </w:p>
    <w:p w:rsidR="00000000" w:rsidDel="00000000" w:rsidP="00000000" w:rsidRDefault="00000000" w:rsidRPr="00000000" w14:paraId="00000012">
      <w:pPr>
        <w:keepNext w:val="0"/>
        <w:keepLines w:val="0"/>
        <w:pageBreakBefore w:val="0"/>
        <w:widowControl w:val="1"/>
        <w:spacing w:after="0" w:before="0" w:line="240" w:lineRule="auto"/>
        <w:ind w:left="0" w:firstLine="662"/>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spacing w:after="0" w:before="0" w:line="240" w:lineRule="auto"/>
        <w:ind w:left="0" w:firstLine="794"/>
        <w:rPr/>
      </w:pPr>
      <w:r w:rsidDel="00000000" w:rsidR="00000000" w:rsidRPr="00000000">
        <w:rPr>
          <w:rFonts w:ascii="Helvetica Neue" w:cs="Helvetica Neue" w:eastAsia="Helvetica Neue" w:hAnsi="Helvetica Neue"/>
          <w:i w:val="0"/>
          <w:smallCaps w:val="0"/>
          <w:color w:val="0b0706"/>
          <w:sz w:val="24"/>
          <w:szCs w:val="24"/>
          <w:rtl w:val="0"/>
        </w:rPr>
        <w:t xml:space="preserve">Якщо комісія визнала, що це був булінг, а не одноразовий конфлікт, то директор закладу повідомляє уповноважені підрозділи органів Національної поліції України та Службу у справах дітей.</w:t>
      </w:r>
      <w:r w:rsidDel="00000000" w:rsidR="00000000" w:rsidRPr="00000000">
        <w:rPr>
          <w:rtl w:val="0"/>
        </w:rPr>
      </w:r>
    </w:p>
    <w:p w:rsidR="00000000" w:rsidDel="00000000" w:rsidP="00000000" w:rsidRDefault="00000000" w:rsidRPr="00000000" w14:paraId="00000014">
      <w:pPr>
        <w:keepNext w:val="0"/>
        <w:keepLines w:val="0"/>
        <w:pageBreakBefore w:val="0"/>
        <w:widowControl w:val="1"/>
        <w:spacing w:after="0" w:before="0" w:line="240" w:lineRule="auto"/>
        <w:ind w:left="0" w:firstLine="662"/>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spacing w:after="0" w:before="0" w:line="240" w:lineRule="auto"/>
        <w:ind w:left="0" w:firstLine="794"/>
        <w:rPr/>
      </w:pPr>
      <w:r w:rsidDel="00000000" w:rsidR="00000000" w:rsidRPr="00000000">
        <w:rPr>
          <w:rFonts w:ascii="Helvetica Neue" w:cs="Helvetica Neue" w:eastAsia="Helvetica Neue" w:hAnsi="Helvetica Neue"/>
          <w:i w:val="0"/>
          <w:smallCaps w:val="0"/>
          <w:color w:val="0b0706"/>
          <w:sz w:val="24"/>
          <w:szCs w:val="24"/>
          <w:rtl w:val="0"/>
        </w:rPr>
        <w:t xml:space="preserve">Особи, які за результатами розслідування є причетними до булінгу, несуть відповідальність відповідно до частини другої статті 13 (вчинення правопорушень за статтею 1734) Кодексу України про адміністративні правопорушення.</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6838" w:w="11906" w:orient="portrait"/>
      <w:pgMar w:bottom="1440" w:top="840" w:left="1800" w:right="90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SimSun"/>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decimal"/>
      <w:lvlText w:val="%3."/>
      <w:lvlJc w:val="left"/>
      <w:pPr>
        <w:ind w:left="2160" w:hanging="360"/>
      </w:pPr>
      <w:rPr>
        <w:sz w:val="24"/>
        <w:szCs w:val="24"/>
      </w:rPr>
    </w:lvl>
    <w:lvl w:ilvl="3">
      <w:start w:val="1"/>
      <w:numFmt w:val="decimal"/>
      <w:lvlText w:val="%4."/>
      <w:lvlJc w:val="left"/>
      <w:pPr>
        <w:ind w:left="2880" w:hanging="360"/>
      </w:pPr>
      <w:rPr>
        <w:sz w:val="24"/>
        <w:szCs w:val="24"/>
      </w:rPr>
    </w:lvl>
    <w:lvl w:ilvl="4">
      <w:start w:val="1"/>
      <w:numFmt w:val="decimal"/>
      <w:lvlText w:val="%5."/>
      <w:lvlJc w:val="left"/>
      <w:pPr>
        <w:ind w:left="3600" w:hanging="360"/>
      </w:pPr>
      <w:rPr>
        <w:sz w:val="24"/>
        <w:szCs w:val="24"/>
      </w:rPr>
    </w:lvl>
    <w:lvl w:ilvl="5">
      <w:start w:val="1"/>
      <w:numFmt w:val="decimal"/>
      <w:lvlText w:val="%6."/>
      <w:lvlJc w:val="left"/>
      <w:pPr>
        <w:ind w:left="4320" w:hanging="360"/>
      </w:pPr>
      <w:rPr>
        <w:sz w:val="24"/>
        <w:szCs w:val="24"/>
      </w:rPr>
    </w:lvl>
    <w:lvl w:ilvl="6">
      <w:start w:val="1"/>
      <w:numFmt w:val="decimal"/>
      <w:lvlText w:val="%7."/>
      <w:lvlJc w:val="left"/>
      <w:pPr>
        <w:ind w:left="5040" w:hanging="360"/>
      </w:pPr>
      <w:rPr>
        <w:sz w:val="24"/>
        <w:szCs w:val="24"/>
      </w:rPr>
    </w:lvl>
    <w:lvl w:ilvl="7">
      <w:start w:val="1"/>
      <w:numFmt w:val="decimal"/>
      <w:lvlText w:val="%8."/>
      <w:lvlJc w:val="left"/>
      <w:pPr>
        <w:ind w:left="5760" w:hanging="360"/>
      </w:pPr>
      <w:rPr>
        <w:sz w:val="24"/>
        <w:szCs w:val="24"/>
      </w:rPr>
    </w:lvl>
    <w:lvl w:ilvl="8">
      <w:start w:val="1"/>
      <w:numFmt w:val="decimal"/>
      <w:lvlText w:val="%9."/>
      <w:lvlJc w:val="left"/>
      <w:pPr>
        <w:ind w:left="6480" w:hanging="360"/>
      </w:pPr>
      <w:rPr>
        <w:sz w:val="24"/>
        <w:szCs w:val="24"/>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SimSun" w:cs="SimSun" w:eastAsia="SimSun" w:hAnsi="SimSu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1" w:default="1">
    <w:name w:val="Normal"/>
    <w:uiPriority w:val="0"/>
    <w:qFormat w:val="1"/>
    <w:rPr>
      <w:rFonts w:asciiTheme="minorHAnsi" w:cstheme="minorBidi" w:eastAsiaTheme="minorEastAsia" w:hAnsiTheme="minorHAnsi"/>
      <w:lang w:bidi="ar-SA" w:eastAsia="zh-CN" w:val="en-US"/>
    </w:rPr>
  </w:style>
  <w:style w:type="paragraph" w:styleId="2">
    <w:name w:val="heading 1"/>
    <w:next w:val="1"/>
    <w:uiPriority w:val="0"/>
    <w:qFormat w:val="1"/>
    <w:pPr>
      <w:spacing w:after="0" w:afterAutospacing="1" w:before="0" w:beforeAutospacing="1"/>
      <w:jc w:val="left"/>
    </w:pPr>
    <w:rPr>
      <w:rFonts w:ascii="SimSun" w:cs="SimSun" w:eastAsia="SimSun" w:hAnsi="SimSun" w:hint="eastAsia"/>
      <w:b w:val="1"/>
      <w:bCs w:val="1"/>
      <w:kern w:val="32"/>
      <w:sz w:val="48"/>
      <w:szCs w:val="48"/>
      <w:lang w:bidi="ar" w:eastAsia="zh-CN" w:val="en-US"/>
    </w:rPr>
  </w:style>
  <w:style w:type="character" w:styleId="4" w:default="1">
    <w:name w:val="Default Paragraph Font"/>
    <w:uiPriority w:val="0"/>
    <w:semiHidden w:val="1"/>
  </w:style>
  <w:style w:type="table" w:styleId="7" w:default="1">
    <w:name w:val="Normal Table"/>
    <w:uiPriority w:val="0"/>
    <w:semiHidden w:val="1"/>
    <w:tblPr>
      <w:tblCellMar>
        <w:top w:w="0.0" w:type="dxa"/>
        <w:left w:w="108.0" w:type="dxa"/>
        <w:bottom w:w="0.0" w:type="dxa"/>
        <w:right w:w="108.0" w:type="dxa"/>
      </w:tblCellMar>
    </w:tblPr>
  </w:style>
  <w:style w:type="paragraph" w:styleId="3">
    <w:name w:val="Normal (Web)"/>
    <w:uiPriority w:val="0"/>
    <w:pPr>
      <w:spacing w:after="0" w:afterAutospacing="1" w:before="0" w:beforeAutospacing="1"/>
      <w:ind w:left="0" w:right="0"/>
      <w:jc w:val="left"/>
    </w:pPr>
    <w:rPr>
      <w:kern w:val="0"/>
      <w:sz w:val="24"/>
      <w:szCs w:val="24"/>
      <w:lang w:bidi="ar" w:eastAsia="zh-CN" w:val="en-US"/>
    </w:rPr>
  </w:style>
  <w:style w:type="character" w:styleId="5">
    <w:name w:val="Hyperlink"/>
    <w:basedOn w:val="4"/>
    <w:uiPriority w:val="0"/>
    <w:rPr>
      <w:color w:val="0000ff"/>
      <w:u w:val="single"/>
    </w:rPr>
  </w:style>
  <w:style w:type="character" w:styleId="6">
    <w:name w:val="Strong"/>
    <w:basedOn w:val="4"/>
    <w:uiPriority w:val="0"/>
    <w:qFormat w:val="1"/>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zakon.rada.gov.ua/laws/show/z0111-20#n1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4UiIODVHAasgbzAXCFAzQm5jwA==">AMUW2mXJdp28nUoXw+wgc8SiF0sJvreggB1FrBpc2xQ7t744v1MuDcZSSsE891pPvVhOAFf9rKvG/A22bjQaQRo4mudYjT//NCbryBXieWrHSsNeEMrZPiWH7qvPXCpu2dyav/1jX9b5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2020-03-24T13:41:00Z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1049-11.2.0.9232</vt:lpwstr>
  </property>
</Properties>
</file>